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</w:rPr>
      </w:pPr>
      <w:r>
        <w:rPr>
          <w:rFonts w:hint="eastAsia" w:ascii="方正小标宋简体" w:hAnsi="方正小标宋简体" w:eastAsia="方正小标宋简体" w:cs="方正小标宋简体"/>
          <w:sz w:val="44"/>
        </w:rPr>
        <w:t>公共管理学院学术型硕士生导师</w:t>
      </w:r>
    </w:p>
    <w:p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color w:val="auto"/>
          <w:sz w:val="44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</w:rPr>
        <w:t>年度资格审</w:t>
      </w:r>
      <w:r>
        <w:rPr>
          <w:rFonts w:hint="eastAsia" w:ascii="方正小标宋简体" w:hAnsi="方正小标宋简体" w:eastAsia="方正小标宋简体" w:cs="方正小标宋简体"/>
          <w:sz w:val="44"/>
          <w:lang w:eastAsia="zh-CN"/>
        </w:rPr>
        <w:t>核</w:t>
      </w:r>
      <w:r>
        <w:rPr>
          <w:rFonts w:hint="eastAsia" w:ascii="方正小标宋简体" w:hAnsi="方正小标宋简体" w:eastAsia="方正小标宋简体" w:cs="方正小标宋简体"/>
          <w:color w:val="auto"/>
          <w:sz w:val="44"/>
          <w:lang w:eastAsia="zh-CN"/>
        </w:rPr>
        <w:t>办法</w:t>
      </w:r>
    </w:p>
    <w:p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ascii="黑体" w:eastAsia="黑体"/>
          <w:color w:val="auto"/>
          <w:sz w:val="44"/>
        </w:rPr>
      </w:pPr>
    </w:p>
    <w:p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为更好地执行学校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学术型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研究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生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导师资格年审制度，根据学校相关文件精神，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结合我院学科建设与发展实际，特制定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本办法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。</w:t>
      </w:r>
    </w:p>
    <w:p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textAlignment w:val="auto"/>
        <w:rPr>
          <w:rFonts w:hint="eastAsia" w:ascii="仿宋_GB2312" w:hAnsi="仿宋_GB2312" w:eastAsia="仿宋_GB2312" w:cs="仿宋_GB2312"/>
          <w:b/>
          <w:color w:val="auto"/>
          <w:sz w:val="32"/>
          <w:szCs w:val="32"/>
        </w:rPr>
      </w:pPr>
      <w:r>
        <w:rPr>
          <w:rFonts w:hint="eastAsia" w:ascii="黑体" w:hAnsi="黑体" w:eastAsia="黑体" w:cs="黑体"/>
          <w:b/>
          <w:color w:val="auto"/>
          <w:sz w:val="32"/>
          <w:szCs w:val="32"/>
        </w:rPr>
        <w:t>第一条  基本原则</w:t>
      </w:r>
    </w:p>
    <w:p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1.有利于学院学科建设发展和结构调整，有利于培养推动国家发展所需要的高层次人才。</w:t>
      </w:r>
    </w:p>
    <w:p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560" w:lineRule="exact"/>
        <w:ind w:firstLine="42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 xml:space="preserve"> 2.坚持学术标准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，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坚持学术道德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，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宁缺勿滥。</w:t>
      </w:r>
    </w:p>
    <w:p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560" w:lineRule="exact"/>
        <w:ind w:firstLine="42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 xml:space="preserve"> 3.有利于改善硕士生导师队伍的年龄结构、知识结构和学历结构。</w:t>
      </w:r>
    </w:p>
    <w:p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textAlignment w:val="auto"/>
        <w:rPr>
          <w:rFonts w:hint="eastAsia" w:ascii="黑体" w:hAnsi="黑体" w:eastAsia="黑体" w:cs="黑体"/>
          <w:b/>
          <w:color w:val="auto"/>
          <w:sz w:val="32"/>
          <w:szCs w:val="32"/>
        </w:rPr>
      </w:pPr>
      <w:r>
        <w:rPr>
          <w:rFonts w:hint="eastAsia" w:ascii="黑体" w:hAnsi="黑体" w:eastAsia="黑体" w:cs="黑体"/>
          <w:b/>
          <w:color w:val="auto"/>
          <w:sz w:val="32"/>
          <w:szCs w:val="32"/>
        </w:rPr>
        <w:t>第二条  资格审查期限</w:t>
      </w:r>
    </w:p>
    <w:p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实行年审制度，审查成果范围为申请之日算起的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三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年内的学术成果。</w:t>
      </w:r>
    </w:p>
    <w:p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textAlignment w:val="auto"/>
        <w:rPr>
          <w:rFonts w:hint="eastAsia" w:ascii="黑体" w:hAnsi="黑体" w:eastAsia="黑体" w:cs="黑体"/>
          <w:b/>
          <w:color w:val="auto"/>
          <w:sz w:val="32"/>
          <w:szCs w:val="32"/>
        </w:rPr>
      </w:pPr>
      <w:r>
        <w:rPr>
          <w:rFonts w:hint="eastAsia" w:ascii="黑体" w:hAnsi="黑体" w:eastAsia="黑体" w:cs="黑体"/>
          <w:b/>
          <w:color w:val="auto"/>
          <w:sz w:val="32"/>
          <w:szCs w:val="32"/>
        </w:rPr>
        <w:t>第三条  基本条件</w:t>
      </w:r>
    </w:p>
    <w:p>
      <w:pPr>
        <w:spacing w:line="560" w:lineRule="exact"/>
        <w:ind w:firstLine="640" w:firstLineChars="200"/>
        <w:rPr>
          <w:rFonts w:hint="eastAsia" w:ascii="仿宋_GB2312" w:eastAsia="仿宋_GB2312"/>
          <w:sz w:val="32"/>
          <w:szCs w:val="32"/>
          <w:highlight w:val="none"/>
        </w:rPr>
      </w:pPr>
      <w:r>
        <w:rPr>
          <w:rFonts w:hint="eastAsia" w:ascii="仿宋_GB2312" w:eastAsia="仿宋_GB2312"/>
          <w:sz w:val="32"/>
          <w:szCs w:val="32"/>
          <w:highlight w:val="none"/>
        </w:rPr>
        <w:t>1.坚持以习近平新时代中国特色社会主义思想为指导，拥护中国共产党的领导，贯彻党的教育方针。导师作为研究生培养的第一责任人，肩负着为党育人、为国育才的重要使命，具备对研究生进行思想政治教育、学术规范训练、创新能力培养、社会实践引导等基本导师能力。</w:t>
      </w:r>
    </w:p>
    <w:p>
      <w:pPr>
        <w:spacing w:line="560" w:lineRule="exact"/>
        <w:ind w:firstLine="640" w:firstLineChars="200"/>
        <w:rPr>
          <w:rFonts w:ascii="仿宋_GB2312" w:eastAsia="仿宋_GB2312"/>
          <w:sz w:val="32"/>
          <w:szCs w:val="32"/>
          <w:highlight w:val="none"/>
        </w:rPr>
      </w:pPr>
      <w:r>
        <w:rPr>
          <w:rFonts w:hint="eastAsia" w:ascii="仿宋_GB2312" w:eastAsia="仿宋_GB2312"/>
          <w:sz w:val="32"/>
          <w:szCs w:val="32"/>
          <w:highlight w:val="none"/>
        </w:rPr>
        <w:t>2.近三年指导的研究生学位论文未出现质量问题，未出现教学、科研、意识形态等方面</w:t>
      </w:r>
      <w:r>
        <w:rPr>
          <w:rFonts w:hint="eastAsia" w:ascii="仿宋_GB2312" w:hAnsi="等线" w:eastAsia="仿宋_GB2312" w:cs="Times New Roman"/>
          <w:sz w:val="32"/>
          <w:szCs w:val="32"/>
          <w:highlight w:val="none"/>
          <w:lang w:val="en-US" w:eastAsia="zh-CN"/>
        </w:rPr>
        <w:t>问题</w:t>
      </w:r>
      <w:r>
        <w:rPr>
          <w:rFonts w:hint="eastAsia" w:ascii="仿宋_GB2312" w:hAnsi="等线" w:eastAsia="仿宋_GB2312" w:cs="Times New Roman"/>
          <w:sz w:val="32"/>
          <w:szCs w:val="32"/>
          <w:highlight w:val="none"/>
        </w:rPr>
        <w:t>。</w:t>
      </w:r>
    </w:p>
    <w:p>
      <w:pPr>
        <w:spacing w:line="560" w:lineRule="exact"/>
        <w:ind w:firstLine="640" w:firstLineChars="200"/>
        <w:rPr>
          <w:rFonts w:hint="default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3.本校申请人员需具有高校教师资格证/岗前培训合格证（特岗教师除外）。</w:t>
      </w:r>
    </w:p>
    <w:p>
      <w:pPr>
        <w:spacing w:line="560" w:lineRule="exact"/>
        <w:ind w:firstLine="640" w:firstLineChars="200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4.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具有副高级及以上专业技术职称</w:t>
      </w:r>
      <w:r>
        <w:rPr>
          <w:rFonts w:hint="eastAsia" w:ascii="仿宋_GB2312" w:eastAsia="仿宋_GB2312"/>
          <w:sz w:val="32"/>
          <w:szCs w:val="32"/>
          <w:highlight w:val="none"/>
        </w:rPr>
        <w:t>（包括一流学科特岗人才、享受校聘副教授待遇不超过3年（含）的教师）</w:t>
      </w:r>
      <w:r>
        <w:rPr>
          <w:rFonts w:ascii="仿宋_GB2312" w:eastAsia="仿宋_GB2312"/>
          <w:sz w:val="32"/>
          <w:szCs w:val="32"/>
          <w:highlight w:val="none"/>
        </w:rPr>
        <w:t>。</w:t>
      </w:r>
    </w:p>
    <w:p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5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.能认真履行导师职责，一般应有协助培养硕士研究生的经历。本校教师在校内工作时间年均不少于8个月，兼职导师在贵州大学工作时间年均累计不少于1个月。</w:t>
      </w:r>
    </w:p>
    <w:p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6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.在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审核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当年年龄原则上不超过57周岁（有特殊贡献的专家除外，新增硕士点的首批硕士生导师不超过60周岁），计算截止时间为当年的12月31日。</w:t>
      </w:r>
    </w:p>
    <w:p>
      <w:pPr>
        <w:spacing w:line="560" w:lineRule="exact"/>
        <w:ind w:firstLine="640" w:firstLineChars="200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7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.</w:t>
      </w:r>
      <w:r>
        <w:rPr>
          <w:rFonts w:hint="eastAsia" w:ascii="仿宋_GB2312" w:eastAsia="仿宋_GB2312"/>
          <w:sz w:val="32"/>
          <w:szCs w:val="32"/>
        </w:rPr>
        <w:t>具有坚实的理论基础和系统的专门知识，有较丰富的科研工作经验和一定的学术造诣，熟悉本学科/专业前沿领域的发展趋势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，能较好地进行国际学术交流。</w:t>
      </w:r>
    </w:p>
    <w:p>
      <w:pPr>
        <w:spacing w:line="560" w:lineRule="exact"/>
        <w:ind w:firstLine="640" w:firstLineChars="200"/>
        <w:rPr>
          <w:rFonts w:hint="eastAsia" w:ascii="黑体" w:hAnsi="黑体" w:eastAsia="黑体" w:cs="黑体"/>
          <w:sz w:val="32"/>
          <w:szCs w:val="32"/>
          <w:highlight w:val="none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highlight w:val="none"/>
          <w:lang w:eastAsia="zh-CN"/>
        </w:rPr>
        <w:t>第四条</w:t>
      </w:r>
      <w:r>
        <w:rPr>
          <w:rFonts w:hint="eastAsia" w:ascii="黑体" w:hAnsi="黑体" w:eastAsia="黑体" w:cs="黑体"/>
          <w:sz w:val="32"/>
          <w:szCs w:val="32"/>
          <w:highlight w:val="none"/>
          <w:lang w:val="en-US" w:eastAsia="zh-CN"/>
        </w:rPr>
        <w:t xml:space="preserve">  申请资格条件</w:t>
      </w:r>
    </w:p>
    <w:p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560" w:lineRule="exact"/>
        <w:ind w:firstLine="420"/>
        <w:textAlignment w:val="auto"/>
        <w:rPr>
          <w:rFonts w:hint="default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highlight w:val="none"/>
          <w:lang w:val="en-US" w:eastAsia="zh-CN"/>
        </w:rPr>
        <w:t xml:space="preserve"> 1.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近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eastAsia="zh-CN"/>
        </w:rPr>
        <w:t>三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年内，取得与申请学科相关的研究成果达到下列条件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eastAsia="zh-CN"/>
        </w:rPr>
        <w:t>，可</w:t>
      </w:r>
      <w:r>
        <w:rPr>
          <w:rFonts w:hint="eastAsia" w:ascii="仿宋_GB2312" w:eastAsia="仿宋_GB2312"/>
          <w:color w:val="auto"/>
          <w:sz w:val="32"/>
          <w:szCs w:val="32"/>
          <w:highlight w:val="none"/>
        </w:rPr>
        <w:t>在1个一级学科硕士授权点下的不超过1个二级学科/方向申请硕导岗位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：以第一作者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eastAsia="zh-CN"/>
        </w:rPr>
        <w:t>或第一通讯作者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发表与申报学科密切相关的中文核心期刊论文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eastAsia="zh-CN"/>
        </w:rPr>
        <w:t>至少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1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篇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eastAsia="zh-CN"/>
        </w:rPr>
        <w:t>或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SCD论文2篇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eastAsia="zh-CN"/>
        </w:rPr>
        <w:t>，并主持校级以上科研项目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1项或横向课题（横向课题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科研经费达3.0万元/项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）</w:t>
      </w:r>
    </w:p>
    <w:p>
      <w:pPr>
        <w:spacing w:line="560" w:lineRule="exact"/>
        <w:ind w:firstLine="640" w:firstLineChars="200"/>
        <w:rPr>
          <w:rFonts w:ascii="仿宋_GB2312" w:eastAsia="仿宋_GB2312"/>
          <w:sz w:val="32"/>
          <w:szCs w:val="32"/>
          <w:highlight w:val="none"/>
        </w:rPr>
      </w:pPr>
      <w:r>
        <w:rPr>
          <w:rFonts w:hint="eastAsia" w:ascii="仿宋_GB2312" w:eastAsia="仿宋_GB2312"/>
          <w:sz w:val="32"/>
          <w:szCs w:val="32"/>
          <w:highlight w:val="none"/>
          <w:lang w:val="en-US" w:eastAsia="zh-CN"/>
        </w:rPr>
        <w:t>2.</w:t>
      </w:r>
      <w:r>
        <w:rPr>
          <w:rFonts w:ascii="仿宋_GB2312" w:eastAsia="仿宋_GB2312"/>
          <w:sz w:val="32"/>
          <w:szCs w:val="32"/>
          <w:highlight w:val="none"/>
        </w:rPr>
        <w:t>近三年，满足以下条件</w:t>
      </w:r>
      <w:r>
        <w:rPr>
          <w:rFonts w:hint="eastAsia" w:ascii="仿宋_GB2312" w:eastAsia="仿宋_GB2312"/>
          <w:sz w:val="32"/>
          <w:szCs w:val="32"/>
          <w:highlight w:val="none"/>
          <w:lang w:val="en-US" w:eastAsia="zh-CN"/>
        </w:rPr>
        <w:t>之一</w:t>
      </w:r>
      <w:r>
        <w:rPr>
          <w:rFonts w:ascii="仿宋_GB2312" w:eastAsia="仿宋_GB2312"/>
          <w:sz w:val="32"/>
          <w:szCs w:val="32"/>
          <w:highlight w:val="none"/>
        </w:rPr>
        <w:t>的</w:t>
      </w:r>
      <w:r>
        <w:rPr>
          <w:rFonts w:hint="eastAsia" w:ascii="仿宋_GB2312" w:eastAsia="仿宋_GB2312"/>
          <w:sz w:val="32"/>
          <w:szCs w:val="32"/>
          <w:highlight w:val="none"/>
          <w:lang w:val="en-US" w:eastAsia="zh-CN"/>
        </w:rPr>
        <w:t>导师，</w:t>
      </w:r>
      <w:r>
        <w:rPr>
          <w:rFonts w:ascii="仿宋_GB2312" w:eastAsia="仿宋_GB2312"/>
          <w:sz w:val="32"/>
          <w:szCs w:val="32"/>
          <w:highlight w:val="none"/>
        </w:rPr>
        <w:t>可在1个一级学科硕士授权点下的2个二级学科</w:t>
      </w:r>
      <w:r>
        <w:rPr>
          <w:rFonts w:hint="eastAsia" w:ascii="仿宋_GB2312" w:eastAsia="仿宋_GB2312"/>
          <w:sz w:val="32"/>
          <w:szCs w:val="32"/>
          <w:highlight w:val="none"/>
        </w:rPr>
        <w:t>/方向</w:t>
      </w:r>
      <w:r>
        <w:rPr>
          <w:rFonts w:ascii="仿宋_GB2312" w:eastAsia="仿宋_GB2312"/>
          <w:sz w:val="32"/>
          <w:szCs w:val="32"/>
          <w:highlight w:val="none"/>
        </w:rPr>
        <w:t>申请硕导岗位：</w:t>
      </w:r>
    </w:p>
    <w:p>
      <w:pPr>
        <w:spacing w:line="560" w:lineRule="exact"/>
        <w:ind w:firstLine="640" w:firstLineChars="200"/>
        <w:rPr>
          <w:rFonts w:hint="eastAsia" w:ascii="仿宋_GB2312" w:eastAsia="仿宋_GB2312"/>
          <w:sz w:val="32"/>
          <w:szCs w:val="32"/>
          <w:highlight w:val="none"/>
          <w:lang w:eastAsia="zh-CN"/>
        </w:rPr>
      </w:pPr>
      <w:r>
        <w:rPr>
          <w:rFonts w:ascii="仿宋_GB2312" w:eastAsia="仿宋_GB2312"/>
          <w:sz w:val="32"/>
          <w:szCs w:val="32"/>
          <w:highlight w:val="none"/>
        </w:rPr>
        <w:t>（1）第一作者或第一通讯作者发表SCI</w:t>
      </w:r>
      <w:r>
        <w:rPr>
          <w:rFonts w:hint="eastAsia" w:ascii="仿宋_GB2312" w:eastAsia="仿宋_GB2312"/>
          <w:sz w:val="32"/>
          <w:szCs w:val="32"/>
          <w:highlight w:val="none"/>
        </w:rPr>
        <w:t>二</w:t>
      </w:r>
      <w:r>
        <w:rPr>
          <w:rFonts w:ascii="仿宋_GB2312" w:eastAsia="仿宋_GB2312"/>
          <w:sz w:val="32"/>
          <w:szCs w:val="32"/>
          <w:highlight w:val="none"/>
        </w:rPr>
        <w:t>区</w:t>
      </w:r>
      <w:r>
        <w:rPr>
          <w:rFonts w:hint="eastAsia" w:ascii="仿宋_GB2312" w:eastAsia="仿宋_GB2312"/>
          <w:sz w:val="32"/>
          <w:szCs w:val="32"/>
          <w:highlight w:val="none"/>
          <w:lang w:val="en-US" w:eastAsia="zh-CN"/>
        </w:rPr>
        <w:t>及以上</w:t>
      </w:r>
      <w:r>
        <w:rPr>
          <w:rFonts w:ascii="仿宋_GB2312" w:eastAsia="仿宋_GB2312"/>
          <w:sz w:val="32"/>
          <w:szCs w:val="32"/>
          <w:highlight w:val="none"/>
        </w:rPr>
        <w:t>、C刊</w:t>
      </w:r>
      <w:r>
        <w:rPr>
          <w:rFonts w:hint="eastAsia" w:ascii="仿宋_GB2312" w:eastAsia="仿宋_GB2312"/>
          <w:sz w:val="32"/>
          <w:szCs w:val="32"/>
          <w:highlight w:val="none"/>
          <w:lang w:eastAsia="zh-CN"/>
        </w:rPr>
        <w:t>（</w:t>
      </w:r>
      <w:r>
        <w:rPr>
          <w:rFonts w:hint="eastAsia" w:ascii="仿宋_GB2312" w:eastAsia="仿宋_GB2312"/>
          <w:sz w:val="32"/>
          <w:szCs w:val="32"/>
          <w:highlight w:val="none"/>
          <w:lang w:val="en-US" w:eastAsia="zh-CN"/>
        </w:rPr>
        <w:t>不含扩展版</w:t>
      </w:r>
      <w:r>
        <w:rPr>
          <w:rFonts w:hint="eastAsia" w:ascii="仿宋_GB2312" w:eastAsia="仿宋_GB2312"/>
          <w:sz w:val="32"/>
          <w:szCs w:val="32"/>
          <w:highlight w:val="none"/>
          <w:lang w:eastAsia="zh-CN"/>
        </w:rPr>
        <w:t>）</w:t>
      </w:r>
      <w:r>
        <w:rPr>
          <w:rFonts w:ascii="仿宋_GB2312" w:eastAsia="仿宋_GB2312"/>
          <w:sz w:val="32"/>
          <w:szCs w:val="32"/>
          <w:highlight w:val="none"/>
        </w:rPr>
        <w:t>、SSCI论文</w:t>
      </w:r>
      <w:r>
        <w:rPr>
          <w:rFonts w:hint="eastAsia" w:ascii="仿宋_GB2312" w:eastAsia="仿宋_GB2312"/>
          <w:sz w:val="32"/>
          <w:szCs w:val="32"/>
          <w:highlight w:val="none"/>
          <w:lang w:eastAsia="zh-CN"/>
        </w:rPr>
        <w:t>。</w:t>
      </w:r>
    </w:p>
    <w:p>
      <w:pPr>
        <w:spacing w:line="560" w:lineRule="exact"/>
        <w:ind w:firstLine="640" w:firstLineChars="200"/>
        <w:rPr>
          <w:rFonts w:ascii="仿宋_GB2312" w:eastAsia="仿宋_GB2312"/>
          <w:sz w:val="32"/>
          <w:szCs w:val="32"/>
          <w:highlight w:val="none"/>
        </w:rPr>
      </w:pPr>
      <w:r>
        <w:rPr>
          <w:rFonts w:ascii="仿宋_GB2312" w:eastAsia="仿宋_GB2312"/>
          <w:sz w:val="32"/>
          <w:szCs w:val="32"/>
          <w:highlight w:val="none"/>
        </w:rPr>
        <w:t>（2）主持</w:t>
      </w:r>
      <w:r>
        <w:rPr>
          <w:rFonts w:hint="eastAsia" w:ascii="仿宋_GB2312" w:eastAsia="仿宋_GB2312"/>
          <w:sz w:val="32"/>
          <w:szCs w:val="32"/>
          <w:highlight w:val="none"/>
          <w:lang w:val="en-US" w:eastAsia="zh-CN"/>
        </w:rPr>
        <w:t>并在研</w:t>
      </w:r>
      <w:r>
        <w:rPr>
          <w:rFonts w:ascii="仿宋_GB2312" w:eastAsia="仿宋_GB2312"/>
          <w:sz w:val="32"/>
          <w:szCs w:val="32"/>
          <w:highlight w:val="none"/>
        </w:rPr>
        <w:t>国家</w:t>
      </w:r>
      <w:r>
        <w:rPr>
          <w:rFonts w:hint="eastAsia" w:ascii="仿宋_GB2312" w:eastAsia="仿宋_GB2312"/>
          <w:sz w:val="32"/>
          <w:szCs w:val="32"/>
          <w:highlight w:val="none"/>
          <w:lang w:val="en-US" w:eastAsia="zh-CN"/>
        </w:rPr>
        <w:t>自然科学</w:t>
      </w:r>
      <w:r>
        <w:rPr>
          <w:rFonts w:ascii="仿宋_GB2312" w:eastAsia="仿宋_GB2312"/>
          <w:sz w:val="32"/>
          <w:szCs w:val="32"/>
          <w:highlight w:val="none"/>
        </w:rPr>
        <w:t>基金</w:t>
      </w:r>
      <w:r>
        <w:rPr>
          <w:rFonts w:hint="eastAsia" w:ascii="仿宋_GB2312" w:eastAsia="仿宋_GB2312"/>
          <w:sz w:val="32"/>
          <w:szCs w:val="32"/>
          <w:highlight w:val="none"/>
          <w:lang w:eastAsia="zh-CN"/>
        </w:rPr>
        <w:t>、</w:t>
      </w:r>
      <w:r>
        <w:rPr>
          <w:rFonts w:hint="eastAsia" w:ascii="仿宋_GB2312" w:eastAsia="仿宋_GB2312"/>
          <w:sz w:val="32"/>
          <w:szCs w:val="32"/>
          <w:highlight w:val="none"/>
          <w:lang w:val="en-US" w:eastAsia="zh-CN"/>
        </w:rPr>
        <w:t>社会科学</w:t>
      </w:r>
      <w:r>
        <w:rPr>
          <w:rFonts w:ascii="仿宋_GB2312" w:eastAsia="仿宋_GB2312"/>
          <w:sz w:val="32"/>
          <w:szCs w:val="32"/>
          <w:highlight w:val="none"/>
        </w:rPr>
        <w:t>基金及以上的国家级项目；</w:t>
      </w:r>
    </w:p>
    <w:p>
      <w:pPr>
        <w:spacing w:line="560" w:lineRule="exact"/>
        <w:ind w:firstLine="640" w:firstLineChars="200"/>
        <w:rPr>
          <w:rFonts w:ascii="仿宋_GB2312" w:eastAsia="仿宋_GB2312"/>
          <w:sz w:val="32"/>
          <w:szCs w:val="32"/>
          <w:highlight w:val="none"/>
        </w:rPr>
      </w:pPr>
      <w:r>
        <w:rPr>
          <w:rFonts w:ascii="仿宋_GB2312" w:eastAsia="仿宋_GB2312"/>
          <w:sz w:val="32"/>
          <w:szCs w:val="32"/>
          <w:highlight w:val="none"/>
        </w:rPr>
        <w:t>（3）作为排名第一的指导教师，指导学生参加</w:t>
      </w:r>
      <w:r>
        <w:rPr>
          <w:rFonts w:hint="eastAsia" w:ascii="仿宋_GB2312" w:eastAsia="仿宋_GB2312"/>
          <w:sz w:val="32"/>
          <w:szCs w:val="32"/>
          <w:highlight w:val="none"/>
          <w:lang w:eastAsia="zh-CN"/>
        </w:rPr>
        <w:t>“</w:t>
      </w:r>
      <w:r>
        <w:rPr>
          <w:rFonts w:ascii="仿宋_GB2312" w:eastAsia="仿宋_GB2312"/>
          <w:sz w:val="32"/>
          <w:szCs w:val="32"/>
          <w:highlight w:val="none"/>
        </w:rPr>
        <w:t>挑战杯</w:t>
      </w:r>
      <w:r>
        <w:rPr>
          <w:rFonts w:hint="eastAsia" w:ascii="仿宋_GB2312" w:eastAsia="仿宋_GB2312"/>
          <w:sz w:val="32"/>
          <w:szCs w:val="32"/>
          <w:highlight w:val="none"/>
          <w:lang w:eastAsia="zh-CN"/>
        </w:rPr>
        <w:t>”、“</w:t>
      </w:r>
      <w:r>
        <w:rPr>
          <w:rFonts w:ascii="仿宋_GB2312" w:eastAsia="仿宋_GB2312"/>
          <w:sz w:val="32"/>
          <w:szCs w:val="32"/>
          <w:highlight w:val="none"/>
        </w:rPr>
        <w:t>互联网+</w:t>
      </w:r>
      <w:r>
        <w:rPr>
          <w:rFonts w:hint="eastAsia" w:ascii="仿宋_GB2312" w:eastAsia="仿宋_GB2312"/>
          <w:sz w:val="32"/>
          <w:szCs w:val="32"/>
          <w:highlight w:val="none"/>
          <w:lang w:eastAsia="zh-CN"/>
        </w:rPr>
        <w:t>”、“</w:t>
      </w:r>
      <w:r>
        <w:rPr>
          <w:rFonts w:ascii="仿宋_GB2312" w:eastAsia="仿宋_GB2312"/>
          <w:sz w:val="32"/>
          <w:szCs w:val="32"/>
          <w:highlight w:val="none"/>
        </w:rPr>
        <w:t>研究生创新系列大赛</w:t>
      </w:r>
      <w:r>
        <w:rPr>
          <w:rFonts w:hint="eastAsia" w:ascii="仿宋_GB2312" w:eastAsia="仿宋_GB2312"/>
          <w:sz w:val="32"/>
          <w:szCs w:val="32"/>
          <w:highlight w:val="none"/>
          <w:lang w:eastAsia="zh-CN"/>
        </w:rPr>
        <w:t>”、“</w:t>
      </w:r>
      <w:r>
        <w:rPr>
          <w:rFonts w:hint="eastAsia" w:ascii="仿宋_GB2312" w:eastAsia="仿宋_GB2312"/>
          <w:sz w:val="32"/>
          <w:szCs w:val="32"/>
          <w:highlight w:val="none"/>
          <w:lang w:val="en-US" w:eastAsia="zh-CN"/>
        </w:rPr>
        <w:t>教育部认可的全国普通高校大学生竞赛榜单中竞赛”</w:t>
      </w:r>
      <w:r>
        <w:rPr>
          <w:rFonts w:ascii="仿宋_GB2312" w:eastAsia="仿宋_GB2312"/>
          <w:sz w:val="32"/>
          <w:szCs w:val="32"/>
          <w:highlight w:val="none"/>
        </w:rPr>
        <w:t>并获国家级</w:t>
      </w:r>
      <w:r>
        <w:rPr>
          <w:rFonts w:hint="eastAsia" w:ascii="仿宋_GB2312" w:eastAsia="仿宋_GB2312"/>
          <w:sz w:val="32"/>
          <w:szCs w:val="32"/>
          <w:highlight w:val="none"/>
          <w:lang w:val="en-US" w:eastAsia="zh-CN"/>
        </w:rPr>
        <w:t>二</w:t>
      </w:r>
      <w:r>
        <w:rPr>
          <w:rFonts w:ascii="仿宋_GB2312" w:eastAsia="仿宋_GB2312"/>
          <w:sz w:val="32"/>
          <w:szCs w:val="32"/>
          <w:highlight w:val="none"/>
        </w:rPr>
        <w:t>等奖及以上奖项。</w:t>
      </w:r>
    </w:p>
    <w:p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textAlignment w:val="auto"/>
        <w:rPr>
          <w:rFonts w:hint="eastAsia" w:ascii="黑体" w:hAnsi="黑体" w:eastAsia="黑体" w:cs="黑体"/>
          <w:b/>
          <w:color w:val="auto"/>
          <w:sz w:val="32"/>
          <w:szCs w:val="32"/>
        </w:rPr>
      </w:pPr>
      <w:r>
        <w:rPr>
          <w:rFonts w:hint="eastAsia" w:ascii="黑体" w:hAnsi="黑体" w:eastAsia="黑体" w:cs="黑体"/>
          <w:b/>
          <w:color w:val="auto"/>
          <w:sz w:val="32"/>
          <w:szCs w:val="32"/>
        </w:rPr>
        <w:t>第</w:t>
      </w:r>
      <w:r>
        <w:rPr>
          <w:rFonts w:hint="eastAsia" w:ascii="黑体" w:hAnsi="黑体" w:eastAsia="黑体" w:cs="黑体"/>
          <w:b/>
          <w:color w:val="auto"/>
          <w:sz w:val="32"/>
          <w:szCs w:val="32"/>
          <w:lang w:eastAsia="zh-CN"/>
        </w:rPr>
        <w:t>五</w:t>
      </w:r>
      <w:r>
        <w:rPr>
          <w:rFonts w:hint="eastAsia" w:ascii="黑体" w:hAnsi="黑体" w:eastAsia="黑体" w:cs="黑体"/>
          <w:b/>
          <w:color w:val="auto"/>
          <w:sz w:val="32"/>
          <w:szCs w:val="32"/>
        </w:rPr>
        <w:t>条  审核程序</w:t>
      </w:r>
    </w:p>
    <w:p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560" w:lineRule="exact"/>
        <w:ind w:right="560"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1.个人申请。申请人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eastAsia="zh-CN"/>
        </w:rPr>
        <w:t>登录贵州大学研究生管理信息系统（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http://210.40.7.236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eastAsia="zh-CN"/>
        </w:rPr>
        <w:t>）填报导师年审申请，并提交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相关材料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eastAsia="zh-CN"/>
        </w:rPr>
        <w:t>。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研究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生科对申请人进行资格审查。</w:t>
      </w:r>
    </w:p>
    <w:p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560" w:lineRule="exact"/>
        <w:ind w:right="560"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2.学科评审。院学术委员会对申请人进行资格和水平评审。采取无记名投票的方式表决，赞成票超过三分之二视为通过。经公示后，报校学位评定委员会办公室（以下简称校学位办）备案并公布。</w:t>
      </w:r>
    </w:p>
    <w:p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textAlignment w:val="auto"/>
        <w:rPr>
          <w:rFonts w:hint="eastAsia" w:ascii="黑体" w:hAnsi="黑体" w:eastAsia="黑体" w:cs="黑体"/>
          <w:b/>
          <w:color w:val="auto"/>
          <w:sz w:val="32"/>
          <w:szCs w:val="32"/>
        </w:rPr>
      </w:pPr>
      <w:r>
        <w:rPr>
          <w:rFonts w:hint="eastAsia" w:ascii="黑体" w:hAnsi="黑体" w:eastAsia="黑体" w:cs="黑体"/>
          <w:b/>
          <w:color w:val="auto"/>
          <w:sz w:val="32"/>
          <w:szCs w:val="32"/>
        </w:rPr>
        <w:t>第</w:t>
      </w:r>
      <w:r>
        <w:rPr>
          <w:rFonts w:hint="eastAsia" w:ascii="黑体" w:hAnsi="黑体" w:eastAsia="黑体" w:cs="黑体"/>
          <w:b/>
          <w:color w:val="auto"/>
          <w:sz w:val="32"/>
          <w:szCs w:val="32"/>
          <w:lang w:eastAsia="zh-CN"/>
        </w:rPr>
        <w:t>六</w:t>
      </w:r>
      <w:r>
        <w:rPr>
          <w:rFonts w:hint="eastAsia" w:ascii="黑体" w:hAnsi="黑体" w:eastAsia="黑体" w:cs="黑体"/>
          <w:b/>
          <w:color w:val="auto"/>
          <w:sz w:val="32"/>
          <w:szCs w:val="32"/>
        </w:rPr>
        <w:t>条  监督</w:t>
      </w:r>
    </w:p>
    <w:p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560" w:lineRule="exact"/>
        <w:ind w:right="560"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1.在新增导师资格审查和投票环节，一律不参与涉及本人或其亲属的评议工作。评审中个人或集体提出的申诉和异议，由校学位办仲裁。</w:t>
      </w:r>
    </w:p>
    <w:p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560" w:lineRule="exact"/>
        <w:ind w:right="560"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2.如果有充分证据证明导师在聘期内有违反学术道德、违反师德师风行为的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eastAsia="zh-CN"/>
        </w:rPr>
        <w:t>、申请过程中提供虚假信息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，经院学术委员会投票，并经学院党政联席会议讨论通过，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eastAsia="zh-CN"/>
        </w:rPr>
        <w:t>取消其导师资格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，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eastAsia="zh-CN"/>
        </w:rPr>
        <w:t>五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年内不得申请，其所带研究生重新选择导师。此条同样适用于外聘导师。</w:t>
      </w:r>
    </w:p>
    <w:p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textAlignment w:val="auto"/>
        <w:rPr>
          <w:rFonts w:hint="eastAsia" w:ascii="黑体" w:hAnsi="黑体" w:eastAsia="黑体" w:cs="黑体"/>
          <w:b/>
          <w:color w:val="auto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b/>
          <w:color w:val="auto"/>
          <w:sz w:val="32"/>
          <w:szCs w:val="32"/>
        </w:rPr>
        <w:t>第</w:t>
      </w:r>
      <w:r>
        <w:rPr>
          <w:rFonts w:hint="eastAsia" w:ascii="黑体" w:hAnsi="黑体" w:eastAsia="黑体" w:cs="黑体"/>
          <w:b/>
          <w:color w:val="auto"/>
          <w:sz w:val="32"/>
          <w:szCs w:val="32"/>
          <w:lang w:eastAsia="zh-CN"/>
        </w:rPr>
        <w:t>七</w:t>
      </w:r>
      <w:r>
        <w:rPr>
          <w:rFonts w:hint="eastAsia" w:ascii="黑体" w:hAnsi="黑体" w:eastAsia="黑体" w:cs="黑体"/>
          <w:b/>
          <w:color w:val="auto"/>
          <w:sz w:val="32"/>
          <w:szCs w:val="32"/>
        </w:rPr>
        <w:t>条  校内及校外兼职硕士生导师</w:t>
      </w:r>
      <w:r>
        <w:rPr>
          <w:rFonts w:hint="eastAsia" w:ascii="黑体" w:hAnsi="黑体" w:eastAsia="黑体" w:cs="黑体"/>
          <w:b/>
          <w:color w:val="auto"/>
          <w:sz w:val="32"/>
          <w:szCs w:val="32"/>
          <w:lang w:eastAsia="zh-CN"/>
        </w:rPr>
        <w:t>年审</w:t>
      </w:r>
    </w:p>
    <w:p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560" w:lineRule="exact"/>
        <w:ind w:right="560"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1.根据培养硕士生和学科建设的实际需要，确有必要时，与我校有稳定合作关系，能积极履行参与我校学科建设的义务并作出贡献，且符合本办法第二条的外单位专家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也可以申请参加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兼职硕士生导师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年度审核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。</w:t>
      </w:r>
    </w:p>
    <w:p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560" w:lineRule="exact"/>
        <w:ind w:right="560"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2.申请兼职硕士生导师由本人向我院提出申请，经资格审查，按本办法第三条、第四条规定的条件和程序进行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审核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。</w:t>
      </w:r>
    </w:p>
    <w:p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560" w:lineRule="exact"/>
        <w:ind w:right="560"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3.兼职硕士生导师要明确培养责任和权益，落实课题经费及培养经费，以保证硕士生培养工作的顺利进行。</w:t>
      </w:r>
    </w:p>
    <w:p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textAlignment w:val="auto"/>
        <w:rPr>
          <w:rFonts w:hint="eastAsia" w:ascii="黑体" w:hAnsi="黑体" w:eastAsia="黑体" w:cs="黑体"/>
          <w:b/>
          <w:color w:val="auto"/>
          <w:sz w:val="32"/>
          <w:szCs w:val="32"/>
        </w:rPr>
      </w:pPr>
      <w:r>
        <w:rPr>
          <w:rFonts w:hint="eastAsia" w:ascii="黑体" w:hAnsi="黑体" w:eastAsia="黑体" w:cs="黑体"/>
          <w:b/>
          <w:color w:val="auto"/>
          <w:sz w:val="32"/>
          <w:szCs w:val="32"/>
        </w:rPr>
        <w:t>第</w:t>
      </w:r>
      <w:r>
        <w:rPr>
          <w:rFonts w:hint="eastAsia" w:ascii="黑体" w:hAnsi="黑体" w:eastAsia="黑体" w:cs="黑体"/>
          <w:b/>
          <w:color w:val="auto"/>
          <w:sz w:val="32"/>
          <w:szCs w:val="32"/>
          <w:lang w:eastAsia="zh-CN"/>
        </w:rPr>
        <w:t>八</w:t>
      </w:r>
      <w:r>
        <w:rPr>
          <w:rFonts w:hint="eastAsia" w:ascii="黑体" w:hAnsi="黑体" w:eastAsia="黑体" w:cs="黑体"/>
          <w:b/>
          <w:color w:val="auto"/>
          <w:sz w:val="32"/>
          <w:szCs w:val="32"/>
        </w:rPr>
        <w:t>条  附则</w:t>
      </w:r>
    </w:p>
    <w:p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560" w:lineRule="exact"/>
        <w:ind w:right="560"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1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.其他不明事宜，解释权属公共管理学院。</w:t>
      </w:r>
    </w:p>
    <w:p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560" w:lineRule="exact"/>
        <w:ind w:right="560"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2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.本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办法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从公布之日起生效。</w:t>
      </w:r>
    </w:p>
    <w:p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560" w:lineRule="exact"/>
        <w:ind w:right="560" w:firstLine="420"/>
        <w:jc w:val="center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 xml:space="preserve">                               </w:t>
      </w:r>
    </w:p>
    <w:p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560" w:lineRule="exact"/>
        <w:ind w:right="560" w:firstLine="420"/>
        <w:jc w:val="center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 xml:space="preserve">      </w:t>
      </w:r>
    </w:p>
    <w:p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560" w:lineRule="exact"/>
        <w:ind w:right="560" w:firstLine="420"/>
        <w:jc w:val="center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560" w:lineRule="exact"/>
        <w:ind w:right="560" w:firstLine="420"/>
        <w:jc w:val="center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 xml:space="preserve">                        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 xml:space="preserve"> 贵州大学公共管理学院</w:t>
      </w:r>
    </w:p>
    <w:p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560" w:lineRule="exact"/>
        <w:ind w:right="840" w:firstLine="420"/>
        <w:jc w:val="right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202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4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年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4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月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22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日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840" w:firstLine="420"/>
        <w:jc w:val="right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</w:p>
    <w:p>
      <w:r>
        <w:rPr>
          <w:rFonts w:hint="eastAsia" w:ascii="仿宋_GB2312" w:eastAsia="仿宋_GB2312"/>
          <w:color w:val="auto"/>
          <w:sz w:val="32"/>
          <w:szCs w:val="32"/>
        </w:rPr>
        <w:t xml:space="preserve"> </w:t>
      </w:r>
    </w:p>
    <w:p/>
    <w:sectPr>
      <w:pgSz w:w="11906" w:h="16838"/>
      <w:pgMar w:top="2098" w:right="1361" w:bottom="1417" w:left="158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方正小标宋简体">
    <w:altName w:val="黑体"/>
    <w:panose1 w:val="02000000000000000000"/>
    <w:charset w:val="86"/>
    <w:family w:val="script"/>
    <w:pitch w:val="default"/>
    <w:sig w:usb0="00000000" w:usb1="00000000" w:usb2="00000000" w:usb3="00000000" w:csb0="00040000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等线">
    <w:altName w:val="微软雅黑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DFhMGZlNjBlZWU5YzZmYzVjOTA3NmRkYWZmZjAzMTEifQ=="/>
  </w:docVars>
  <w:rsids>
    <w:rsidRoot w:val="0B027B7A"/>
    <w:rsid w:val="0B027B7A"/>
    <w:rsid w:val="1D8E4CC8"/>
    <w:rsid w:val="24BE3012"/>
    <w:rsid w:val="2CD419F8"/>
    <w:rsid w:val="3A3F3D85"/>
    <w:rsid w:val="3A8B17FB"/>
    <w:rsid w:val="4DA721EE"/>
    <w:rsid w:val="58C20208"/>
    <w:rsid w:val="5F622211"/>
    <w:rsid w:val="698068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Lines="0" w:beforeAutospacing="0" w:afterLines="0" w:afterAutospacing="0" w:line="720" w:lineRule="exact"/>
      <w:ind w:firstLine="0" w:firstLineChars="0"/>
      <w:jc w:val="center"/>
      <w:outlineLvl w:val="0"/>
    </w:pPr>
    <w:rPr>
      <w:rFonts w:ascii="方正小标宋简体" w:hAnsi="方正小标宋简体" w:eastAsia="方正小标宋简体" w:cs="Times New Roman"/>
      <w:kern w:val="44"/>
      <w:sz w:val="44"/>
    </w:rPr>
  </w:style>
  <w:style w:type="character" w:default="1" w:styleId="4">
    <w:name w:val="Default Paragraph Font"/>
    <w:autoRedefine/>
    <w:semiHidden/>
    <w:uiPriority w:val="0"/>
  </w:style>
  <w:style w:type="table" w:default="1" w:styleId="3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0</Words>
  <Characters>0</Characters>
  <Lines>0</Lines>
  <Paragraphs>0</Paragraphs>
  <TotalTime>28</TotalTime>
  <ScaleCrop>false</ScaleCrop>
  <LinksUpToDate>false</LinksUpToDate>
  <CharactersWithSpaces>0</CharactersWithSpaces>
  <Application>WPS Office_12.1.0.16729_F1E327BC-269C-435d-A152-05C5408002CA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2024-04-19T03:32:00Z</dcterms:created>
  <dc:creator>何昕</dc:creator>
  <cp:lastModifiedBy>何昕</cp:lastModifiedBy>
  <cp:lastPrinted>2024-04-22T08:26:00Z</cp:lastPrinted>
  <dcterms:modified xsi:type="dcterms:W3CDTF">2024-04-23T02:39:30Z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2052-12.1.0.16729</vt:lpwstr>
  </property>
  <property fmtid="{D5CDD505-2E9C-101B-9397-08002B2CF9AE}" pid="3" name="ICV">
    <vt:lpwstr>08A59821C89541A493498965DA3A59FB_11</vt:lpwstr>
  </property>
</Properties>
</file>